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C0527" w14:textId="799DF5CE" w:rsidR="00234156" w:rsidRPr="00041C12" w:rsidRDefault="00D0227E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b/>
          <w:sz w:val="19"/>
          <w:szCs w:val="19"/>
          <w:lang w:eastAsia="zh-CN"/>
        </w:rPr>
      </w:pP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>Supplementary</w:t>
      </w:r>
      <w:r w:rsidR="00234156"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 Information</w:t>
      </w:r>
    </w:p>
    <w:p w14:paraId="3BEBC9DC" w14:textId="77777777" w:rsidR="000F57CE" w:rsidRPr="00041C12" w:rsidRDefault="000F57CE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b/>
          <w:sz w:val="19"/>
          <w:szCs w:val="19"/>
          <w:lang w:eastAsia="zh-CN"/>
        </w:rPr>
      </w:pPr>
    </w:p>
    <w:p w14:paraId="68FE9CB5" w14:textId="4EE10565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b/>
          <w:sz w:val="19"/>
          <w:szCs w:val="19"/>
          <w:lang w:eastAsia="zh-CN"/>
        </w:rPr>
      </w:pP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mRNA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D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elivery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P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latform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B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ased </w:t>
      </w:r>
      <w:r w:rsidR="00C6303A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>o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n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B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acterial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O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uter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M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embrane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V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esicles </w:t>
      </w:r>
      <w:r w:rsidR="00C6303A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>f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or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T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 xml:space="preserve">umor </w:t>
      </w:r>
      <w:r w:rsidRPr="00041C12">
        <w:rPr>
          <w:rFonts w:ascii="Times New Roman" w:eastAsia="宋体" w:hAnsi="Times New Roman" w:cs="Times New Roman" w:hint="eastAsia"/>
          <w:b/>
          <w:sz w:val="19"/>
          <w:szCs w:val="19"/>
          <w:lang w:eastAsia="zh-CN"/>
        </w:rPr>
        <w:t>V</w:t>
      </w:r>
      <w:r w:rsidRPr="00041C12">
        <w:rPr>
          <w:rFonts w:ascii="Times New Roman" w:eastAsia="宋体" w:hAnsi="Times New Roman" w:cs="Times New Roman"/>
          <w:b/>
          <w:sz w:val="19"/>
          <w:szCs w:val="19"/>
          <w:lang w:eastAsia="zh-CN"/>
        </w:rPr>
        <w:t>accine</w:t>
      </w:r>
    </w:p>
    <w:p w14:paraId="37CD7E81" w14:textId="77777777" w:rsidR="00C6303A" w:rsidRPr="00C6303A" w:rsidRDefault="00C6303A" w:rsidP="00041C12">
      <w:pPr>
        <w:pStyle w:val="2"/>
        <w:adjustRightInd w:val="0"/>
        <w:snapToGrid w:val="0"/>
        <w:spacing w:line="276" w:lineRule="auto"/>
        <w:ind w:firstLine="0"/>
        <w:jc w:val="both"/>
        <w:rPr>
          <w:rFonts w:ascii="Times New Roman" w:hAnsi="Times New Roman" w:cs="Times New Roman"/>
          <w:bCs/>
          <w:color w:val="auto"/>
          <w:sz w:val="19"/>
          <w:szCs w:val="19"/>
        </w:rPr>
      </w:pPr>
    </w:p>
    <w:p w14:paraId="0ACEA90B" w14:textId="47AC4B31" w:rsidR="00234156" w:rsidRDefault="00234156" w:rsidP="00041C12">
      <w:pPr>
        <w:pStyle w:val="2"/>
        <w:adjustRightInd w:val="0"/>
        <w:snapToGrid w:val="0"/>
        <w:spacing w:line="276" w:lineRule="auto"/>
        <w:ind w:firstLine="0"/>
        <w:jc w:val="both"/>
        <w:rPr>
          <w:rFonts w:ascii="Times New Roman" w:hAnsi="Times New Roman" w:cs="Times New Roman"/>
          <w:bCs/>
          <w:color w:val="auto"/>
          <w:sz w:val="19"/>
          <w:szCs w:val="19"/>
        </w:rPr>
      </w:pPr>
      <w:proofErr w:type="spellStart"/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>Xiaoyu</w:t>
      </w:r>
      <w:proofErr w:type="spellEnd"/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 xml:space="preserve"> Gao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1,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2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>, Yao Li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1,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3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 xml:space="preserve">, </w:t>
      </w:r>
      <w:proofErr w:type="spellStart"/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>Guangjun</w:t>
      </w:r>
      <w:proofErr w:type="spellEnd"/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 xml:space="preserve"> Nie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1,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2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,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>*, Xiao Zhao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1,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2,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>4</w:t>
      </w:r>
      <w:r w:rsidR="000F57CE" w:rsidRPr="00041C12">
        <w:rPr>
          <w:rFonts w:ascii="Times New Roman" w:hAnsi="Times New Roman" w:cs="Times New Roman"/>
          <w:bCs/>
          <w:color w:val="auto"/>
          <w:sz w:val="19"/>
          <w:szCs w:val="19"/>
          <w:vertAlign w:val="superscript"/>
        </w:rPr>
        <w:t xml:space="preserve">, </w:t>
      </w:r>
      <w:r w:rsidRPr="00041C12">
        <w:rPr>
          <w:rFonts w:ascii="Times New Roman" w:hAnsi="Times New Roman" w:cs="Times New Roman"/>
          <w:bCs/>
          <w:color w:val="auto"/>
          <w:sz w:val="19"/>
          <w:szCs w:val="19"/>
        </w:rPr>
        <w:t>*</w:t>
      </w:r>
    </w:p>
    <w:p w14:paraId="09B6DF97" w14:textId="77777777" w:rsidR="00C6303A" w:rsidRPr="00041C12" w:rsidRDefault="00C6303A" w:rsidP="00041C12">
      <w:pPr>
        <w:pStyle w:val="2"/>
        <w:adjustRightInd w:val="0"/>
        <w:snapToGrid w:val="0"/>
        <w:spacing w:line="276" w:lineRule="auto"/>
        <w:ind w:firstLine="0"/>
        <w:jc w:val="both"/>
        <w:rPr>
          <w:rFonts w:ascii="Times New Roman" w:hAnsi="Times New Roman" w:cs="Times New Roman"/>
          <w:color w:val="auto"/>
          <w:sz w:val="19"/>
          <w:szCs w:val="19"/>
          <w:lang w:eastAsia="zh-CN"/>
        </w:rPr>
      </w:pPr>
    </w:p>
    <w:p w14:paraId="3537C3F1" w14:textId="77777777" w:rsidR="00234156" w:rsidRPr="00041C12" w:rsidRDefault="00234156" w:rsidP="00041C12">
      <w:pPr>
        <w:widowControl w:val="0"/>
        <w:adjustRightInd w:val="0"/>
        <w:snapToGrid w:val="0"/>
        <w:spacing w:line="276" w:lineRule="auto"/>
        <w:jc w:val="both"/>
        <w:rPr>
          <w:rFonts w:ascii="Times New Roman" w:eastAsia="微软雅黑" w:hAnsi="Times New Roman" w:cs="Times New Roman"/>
          <w:sz w:val="19"/>
          <w:szCs w:val="19"/>
          <w:lang w:eastAsia="zh-CN"/>
        </w:rPr>
      </w:pPr>
      <w:r w:rsidRPr="00041C12">
        <w:rPr>
          <w:rFonts w:ascii="Times New Roman" w:eastAsia="微软雅黑" w:hAnsi="Times New Roman" w:cs="Times New Roman"/>
          <w:sz w:val="19"/>
          <w:szCs w:val="19"/>
          <w:vertAlign w:val="superscript"/>
          <w:lang w:eastAsia="zh-CN"/>
        </w:rPr>
        <w:t>1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CAS Key Laboratory for Biomedical Effects of Nanomaterials and </w:t>
      </w:r>
      <w:proofErr w:type="spellStart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Nanosafety</w:t>
      </w:r>
      <w:proofErr w:type="spellEnd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 &amp; CAS Center for Excellence in Nanoscience, National Center for Nanoscience and Technology of China, 11 </w:t>
      </w:r>
      <w:proofErr w:type="spellStart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Beiyitiao</w:t>
      </w:r>
      <w:proofErr w:type="spellEnd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, </w:t>
      </w:r>
      <w:proofErr w:type="spellStart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Zhongguancun</w:t>
      </w:r>
      <w:proofErr w:type="spellEnd"/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, Beijing, 100190, China</w:t>
      </w:r>
    </w:p>
    <w:p w14:paraId="3764D030" w14:textId="77777777" w:rsidR="00234156" w:rsidRPr="00041C12" w:rsidRDefault="00234156" w:rsidP="00041C12">
      <w:pPr>
        <w:widowControl w:val="0"/>
        <w:adjustRightInd w:val="0"/>
        <w:snapToGrid w:val="0"/>
        <w:spacing w:line="276" w:lineRule="auto"/>
        <w:jc w:val="both"/>
        <w:rPr>
          <w:rFonts w:ascii="Times New Roman" w:eastAsia="微软雅黑" w:hAnsi="Times New Roman" w:cs="Times New Roman"/>
          <w:sz w:val="19"/>
          <w:szCs w:val="19"/>
          <w:lang w:eastAsia="zh-CN"/>
        </w:rPr>
      </w:pPr>
      <w:r w:rsidRPr="00041C12">
        <w:rPr>
          <w:rFonts w:ascii="Times New Roman" w:eastAsia="微软雅黑" w:hAnsi="Times New Roman" w:cs="Times New Roman"/>
          <w:sz w:val="19"/>
          <w:szCs w:val="19"/>
          <w:vertAlign w:val="superscript"/>
          <w:lang w:eastAsia="zh-CN"/>
        </w:rPr>
        <w:t>2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University of Chinese Academy of Sciences, Beijing, 100049, China</w:t>
      </w:r>
    </w:p>
    <w:p w14:paraId="3193A0E6" w14:textId="77777777" w:rsidR="00234156" w:rsidRPr="00041C12" w:rsidRDefault="00234156" w:rsidP="00041C12">
      <w:pPr>
        <w:widowControl w:val="0"/>
        <w:adjustRightInd w:val="0"/>
        <w:snapToGrid w:val="0"/>
        <w:spacing w:line="276" w:lineRule="auto"/>
        <w:jc w:val="both"/>
        <w:rPr>
          <w:rFonts w:ascii="Times New Roman" w:eastAsia="微软雅黑" w:hAnsi="Times New Roman" w:cs="Times New Roman"/>
          <w:sz w:val="19"/>
          <w:szCs w:val="19"/>
          <w:lang w:eastAsia="zh-CN"/>
        </w:rPr>
      </w:pPr>
      <w:r w:rsidRPr="00041C12">
        <w:rPr>
          <w:rFonts w:ascii="Times New Roman" w:eastAsia="微软雅黑" w:hAnsi="Times New Roman" w:cs="Times New Roman"/>
          <w:sz w:val="19"/>
          <w:szCs w:val="19"/>
          <w:vertAlign w:val="superscript"/>
          <w:lang w:eastAsia="zh-CN"/>
        </w:rPr>
        <w:t>3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Institute of Smart Biomedical Materials, School of Materials Science and Engineering, Zhejiang Sci-Tech University, Hangzhou 310018, China</w:t>
      </w:r>
    </w:p>
    <w:p w14:paraId="07905AC5" w14:textId="77777777" w:rsidR="00234156" w:rsidRPr="00041C12" w:rsidRDefault="00234156" w:rsidP="00041C12">
      <w:pPr>
        <w:widowControl w:val="0"/>
        <w:adjustRightInd w:val="0"/>
        <w:snapToGrid w:val="0"/>
        <w:spacing w:line="276" w:lineRule="auto"/>
        <w:jc w:val="both"/>
        <w:rPr>
          <w:rFonts w:ascii="Times New Roman" w:eastAsia="微软雅黑" w:hAnsi="Times New Roman" w:cs="Times New Roman"/>
          <w:sz w:val="19"/>
          <w:szCs w:val="19"/>
          <w:lang w:eastAsia="zh-CN"/>
        </w:rPr>
      </w:pPr>
      <w:r w:rsidRPr="00041C12">
        <w:rPr>
          <w:rFonts w:ascii="Times New Roman" w:eastAsia="微软雅黑" w:hAnsi="Times New Roman" w:cs="Times New Roman"/>
          <w:sz w:val="19"/>
          <w:szCs w:val="19"/>
          <w:vertAlign w:val="superscript"/>
          <w:lang w:eastAsia="zh-CN"/>
        </w:rPr>
        <w:t>4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IGDB-NCNST Joint Research Center, Institute of Genetics and Developmental Biology, Chinese Academy of Sciences, Beijing, 100101, China</w:t>
      </w:r>
    </w:p>
    <w:p w14:paraId="47F6E86B" w14:textId="2C97ECF9" w:rsidR="00234156" w:rsidRPr="00041C12" w:rsidRDefault="00234156" w:rsidP="00041C12">
      <w:pPr>
        <w:widowControl w:val="0"/>
        <w:adjustRightInd w:val="0"/>
        <w:snapToGrid w:val="0"/>
        <w:spacing w:line="276" w:lineRule="auto"/>
        <w:jc w:val="both"/>
        <w:rPr>
          <w:rFonts w:ascii="Times New Roman" w:eastAsia="微软雅黑" w:hAnsi="Times New Roman" w:cs="Times New Roman"/>
          <w:sz w:val="19"/>
          <w:szCs w:val="19"/>
          <w:lang w:eastAsia="zh-CN"/>
        </w:rPr>
      </w:pP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*</w:t>
      </w:r>
      <w:r w:rsidRPr="00041C12">
        <w:rPr>
          <w:rFonts w:ascii="Times New Roman" w:eastAsia="微软雅黑" w:hAnsi="Times New Roman" w:cs="Times New Roman"/>
          <w:sz w:val="19"/>
          <w:szCs w:val="19"/>
        </w:rPr>
        <w:t>For correspondence: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 </w:t>
      </w:r>
      <w:hyperlink r:id="rId4" w:history="1">
        <w:r w:rsidR="00041C12" w:rsidRPr="00EB1E2B">
          <w:rPr>
            <w:rStyle w:val="a5"/>
            <w:rFonts w:ascii="Times New Roman" w:eastAsia="微软雅黑" w:hAnsi="Times New Roman" w:cs="Times New Roman"/>
            <w:sz w:val="19"/>
            <w:szCs w:val="19"/>
            <w:lang w:eastAsia="zh-CN"/>
          </w:rPr>
          <w:t>zhaox@nanoctr.cn</w:t>
        </w:r>
      </w:hyperlink>
      <w:r w:rsidR="000F57CE"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>;</w:t>
      </w:r>
      <w:r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 </w:t>
      </w:r>
      <w:hyperlink r:id="rId5" w:history="1">
        <w:r w:rsidR="00041C12" w:rsidRPr="00EB1E2B">
          <w:rPr>
            <w:rStyle w:val="a5"/>
            <w:rFonts w:ascii="Times New Roman" w:eastAsia="微软雅黑" w:hAnsi="Times New Roman" w:cs="Times New Roman"/>
            <w:sz w:val="19"/>
            <w:szCs w:val="19"/>
            <w:lang w:eastAsia="zh-CN"/>
          </w:rPr>
          <w:t>niegj@nanoctr.cn</w:t>
        </w:r>
      </w:hyperlink>
      <w:r w:rsid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 </w:t>
      </w:r>
      <w:r w:rsidR="000F57CE" w:rsidRPr="00041C12">
        <w:rPr>
          <w:rFonts w:ascii="Times New Roman" w:eastAsia="微软雅黑" w:hAnsi="Times New Roman" w:cs="Times New Roman"/>
          <w:sz w:val="19"/>
          <w:szCs w:val="19"/>
          <w:lang w:eastAsia="zh-CN"/>
        </w:rPr>
        <w:t xml:space="preserve"> </w:t>
      </w:r>
    </w:p>
    <w:p w14:paraId="663F3B31" w14:textId="77777777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sz w:val="19"/>
          <w:szCs w:val="19"/>
        </w:rPr>
      </w:pPr>
      <w:r w:rsidRPr="00041C12">
        <w:rPr>
          <w:sz w:val="19"/>
          <w:szCs w:val="19"/>
        </w:rPr>
        <w:br w:type="page"/>
      </w:r>
    </w:p>
    <w:p w14:paraId="22CEBD57" w14:textId="77777777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noProof/>
          <w:kern w:val="0"/>
          <w:sz w:val="19"/>
          <w:szCs w:val="19"/>
          <w:lang w:eastAsia="zh-CN"/>
        </w:rPr>
        <w:lastRenderedPageBreak/>
        <w:drawing>
          <wp:inline distT="0" distB="0" distL="0" distR="0" wp14:anchorId="58265847" wp14:editId="5215915B">
            <wp:extent cx="5056495" cy="354399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-01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2" t="14207" r="8140" b="41697"/>
                    <a:stretch/>
                  </pic:blipFill>
                  <pic:spPr bwMode="auto">
                    <a:xfrm>
                      <a:off x="0" y="0"/>
                      <a:ext cx="5056515" cy="3544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4273B7" w14:textId="77777777" w:rsidR="00234156" w:rsidRPr="00041C12" w:rsidRDefault="00234156" w:rsidP="00041C12">
      <w:pPr>
        <w:widowControl w:val="0"/>
        <w:adjustRightInd w:val="0"/>
        <w:snapToGrid w:val="0"/>
        <w:spacing w:afterLines="100" w:after="312" w:line="276" w:lineRule="auto"/>
        <w:jc w:val="both"/>
        <w:rPr>
          <w:rFonts w:ascii="Times New Roman" w:eastAsia="宋体" w:hAnsi="Times New Roman" w:cs="Times New Roman"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 xml:space="preserve">Supplementary Figure </w:t>
      </w:r>
      <w:r w:rsidRPr="00041C12">
        <w:rPr>
          <w:rFonts w:ascii="Times New Roman" w:eastAsia="宋体" w:hAnsi="Times New Roman" w:cs="Times New Roman" w:hint="eastAsia"/>
          <w:b/>
          <w:kern w:val="0"/>
          <w:sz w:val="19"/>
          <w:szCs w:val="19"/>
        </w:rPr>
        <w:t>1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 xml:space="preserve">. 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Gating strategy and representative scatter plots for analysis of transfection in HEK-293T cells (cf. Figure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1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). 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>(a)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Gating strategy for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EGFP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HEK-293T cells (cf. Figure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1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).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 xml:space="preserve"> (b)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Representative scatter plots for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EGFP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HEK-293T cells (cf. Figure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1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). The data of flow cytometry in this protocol were collected using the BD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C6 and analyzed using the BD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C6 or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FlowJo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V10 software. Figure adapted with permission from Li et al. Advanced Materials, 2022, 34(20</w:t>
      </w:r>
      <w:proofErr w:type="gram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):e</w:t>
      </w:r>
      <w:proofErr w:type="gram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2109984.</w:t>
      </w:r>
    </w:p>
    <w:p w14:paraId="405E2DC4" w14:textId="77777777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kern w:val="0"/>
          <w:sz w:val="19"/>
          <w:szCs w:val="19"/>
        </w:rPr>
      </w:pPr>
    </w:p>
    <w:p w14:paraId="780E7C76" w14:textId="77777777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b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b/>
          <w:noProof/>
          <w:kern w:val="0"/>
          <w:sz w:val="19"/>
          <w:szCs w:val="19"/>
          <w:lang w:eastAsia="zh-CN"/>
        </w:rPr>
        <w:lastRenderedPageBreak/>
        <w:drawing>
          <wp:inline distT="0" distB="0" distL="0" distR="0" wp14:anchorId="207629AD" wp14:editId="70298E9D">
            <wp:extent cx="5274289" cy="6298441"/>
            <wp:effectExtent l="0" t="0" r="317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2-01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59" b="10794"/>
                    <a:stretch/>
                  </pic:blipFill>
                  <pic:spPr bwMode="auto">
                    <a:xfrm>
                      <a:off x="0" y="0"/>
                      <a:ext cx="5274310" cy="62984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C9A6EA" w14:textId="77777777" w:rsidR="00234156" w:rsidRPr="00041C12" w:rsidRDefault="00234156" w:rsidP="00041C12">
      <w:pPr>
        <w:widowControl w:val="0"/>
        <w:adjustRightInd w:val="0"/>
        <w:snapToGrid w:val="0"/>
        <w:spacing w:afterLines="100" w:after="312" w:line="276" w:lineRule="auto"/>
        <w:jc w:val="both"/>
        <w:rPr>
          <w:rFonts w:ascii="Times New Roman" w:eastAsia="宋体" w:hAnsi="Times New Roman" w:cs="Times New Roman"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 xml:space="preserve">Supplementary Figure 2. 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Gating strategy and representative scatter plots for analysis of maturation in BMDCs (cf. Figure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a-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2b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). 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>(a)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Gating strategy for CD80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or CD86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BMDCs (cf. Figure 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a-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b). 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>(b</w:t>
      </w:r>
      <w:r w:rsidRPr="00041C12">
        <w:rPr>
          <w:rFonts w:ascii="Times New Roman" w:eastAsia="宋体" w:hAnsi="Times New Roman" w:cs="Times New Roman" w:hint="eastAsia"/>
          <w:b/>
          <w:kern w:val="0"/>
          <w:sz w:val="19"/>
          <w:szCs w:val="19"/>
        </w:rPr>
        <w:t>-c</w:t>
      </w:r>
      <w:r w:rsidRPr="00041C12">
        <w:rPr>
          <w:rFonts w:ascii="Times New Roman" w:eastAsia="宋体" w:hAnsi="Times New Roman" w:cs="Times New Roman"/>
          <w:b/>
          <w:kern w:val="0"/>
          <w:sz w:val="19"/>
          <w:szCs w:val="19"/>
        </w:rPr>
        <w:t>)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Representative scatter plots for CD80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or CD86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vertAlign w:val="superscript"/>
        </w:rPr>
        <w:t>+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BMDCs (cf. Figure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a-</w:t>
      </w:r>
      <w:r w:rsidRPr="00041C12">
        <w:rPr>
          <w:rFonts w:ascii="Times New Roman" w:eastAsia="宋体" w:hAnsi="Times New Roman" w:cs="Times New Roman" w:hint="eastAsia"/>
          <w:kern w:val="0"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b). The data of flow cytometry in this protocol were collected using the BD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C6 and analyzed using the BD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C6 or </w:t>
      </w:r>
      <w:proofErr w:type="spell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FlowJo</w:t>
      </w:r>
      <w:proofErr w:type="spell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 xml:space="preserve"> V10 software. Figure adapted with permission from Li et al. Advanced Materials, 2022, 34(20</w:t>
      </w:r>
      <w:proofErr w:type="gram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):e</w:t>
      </w:r>
      <w:proofErr w:type="gram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2109984.</w:t>
      </w:r>
    </w:p>
    <w:p w14:paraId="79153625" w14:textId="77777777" w:rsidR="00234156" w:rsidRPr="00041C12" w:rsidRDefault="00234156" w:rsidP="00041C12">
      <w:pPr>
        <w:adjustRightInd w:val="0"/>
        <w:snapToGrid w:val="0"/>
        <w:spacing w:line="276" w:lineRule="auto"/>
        <w:jc w:val="both"/>
        <w:rPr>
          <w:rFonts w:ascii="Times New Roman" w:eastAsia="宋体" w:hAnsi="Times New Roman" w:cs="Times New Roman"/>
          <w:b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b/>
          <w:noProof/>
          <w:kern w:val="0"/>
          <w:sz w:val="19"/>
          <w:szCs w:val="19"/>
          <w:lang w:eastAsia="zh-CN"/>
        </w:rPr>
        <w:lastRenderedPageBreak/>
        <w:drawing>
          <wp:inline distT="0" distB="0" distL="0" distR="0" wp14:anchorId="055102CB" wp14:editId="0FE4CCA3">
            <wp:extent cx="5274290" cy="3336878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3-0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76" b="41513"/>
                    <a:stretch/>
                  </pic:blipFill>
                  <pic:spPr bwMode="auto">
                    <a:xfrm>
                      <a:off x="0" y="0"/>
                      <a:ext cx="5274310" cy="33368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CB3329" w14:textId="77777777" w:rsidR="00234156" w:rsidRPr="00041C12" w:rsidRDefault="00234156" w:rsidP="00041C12">
      <w:pPr>
        <w:widowControl w:val="0"/>
        <w:adjustRightInd w:val="0"/>
        <w:snapToGrid w:val="0"/>
        <w:spacing w:afterLines="100" w:after="312" w:line="276" w:lineRule="auto"/>
        <w:jc w:val="both"/>
        <w:rPr>
          <w:rFonts w:ascii="Times New Roman" w:eastAsia="宋体" w:hAnsi="Times New Roman" w:cs="Times New Roman"/>
          <w:kern w:val="0"/>
          <w:sz w:val="19"/>
          <w:szCs w:val="19"/>
        </w:rPr>
      </w:pPr>
      <w:r w:rsidRPr="00041C12">
        <w:rPr>
          <w:rFonts w:ascii="Times New Roman" w:eastAsia="宋体" w:hAnsi="Times New Roman" w:cs="Times New Roman"/>
          <w:b/>
          <w:bCs/>
          <w:kern w:val="0"/>
          <w:sz w:val="19"/>
          <w:szCs w:val="19"/>
          <w:lang w:bidi="ar"/>
        </w:rPr>
        <w:t xml:space="preserve">Supplementary Figure </w:t>
      </w:r>
      <w:r w:rsidRPr="00041C12">
        <w:rPr>
          <w:rFonts w:ascii="Times New Roman" w:eastAsia="宋体" w:hAnsi="Times New Roman" w:cs="Times New Roman" w:hint="eastAsia"/>
          <w:b/>
          <w:bCs/>
          <w:kern w:val="0"/>
          <w:sz w:val="19"/>
          <w:szCs w:val="19"/>
          <w:lang w:bidi="ar"/>
        </w:rPr>
        <w:t>3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  <w:lang w:bidi="ar"/>
        </w:rPr>
        <w:t>.</w:t>
      </w:r>
      <w:r w:rsidRPr="00041C12">
        <w:rPr>
          <w:rFonts w:ascii="Times New Roman" w:eastAsia="宋体" w:hAnsi="Times New Roman" w:cs="Times New Roman"/>
          <w:sz w:val="19"/>
          <w:szCs w:val="19"/>
          <w:lang w:eastAsia="en-US"/>
        </w:rPr>
        <w:t xml:space="preserve"> 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>G</w:t>
      </w:r>
      <w:r w:rsidRPr="00041C12">
        <w:rPr>
          <w:rFonts w:ascii="Times New Roman" w:eastAsia="宋体" w:hAnsi="Times New Roman" w:cs="Times New Roman" w:hint="eastAsia"/>
          <w:bCs/>
          <w:sz w:val="19"/>
          <w:szCs w:val="19"/>
        </w:rPr>
        <w:t>ating strategy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 and </w:t>
      </w:r>
      <w:r w:rsidRPr="00041C12">
        <w:rPr>
          <w:rFonts w:ascii="Times New Roman" w:hAnsi="Times New Roman"/>
          <w:bCs/>
          <w:sz w:val="19"/>
          <w:szCs w:val="19"/>
        </w:rPr>
        <w:t>representat</w:t>
      </w:r>
      <w:r w:rsidRPr="00041C12">
        <w:rPr>
          <w:rFonts w:ascii="Times New Roman" w:hAnsi="Times New Roman" w:hint="eastAsia"/>
          <w:bCs/>
          <w:sz w:val="19"/>
          <w:szCs w:val="19"/>
        </w:rPr>
        <w:t>i</w:t>
      </w:r>
      <w:r w:rsidRPr="00041C12">
        <w:rPr>
          <w:rFonts w:ascii="Times New Roman" w:hAnsi="Times New Roman"/>
          <w:bCs/>
          <w:sz w:val="19"/>
          <w:szCs w:val="19"/>
        </w:rPr>
        <w:t>ve scatter</w:t>
      </w:r>
      <w:r w:rsidRPr="00041C12">
        <w:rPr>
          <w:rFonts w:ascii="Times New Roman" w:hAnsi="Times New Roman" w:hint="eastAsia"/>
          <w:bCs/>
          <w:sz w:val="19"/>
          <w:szCs w:val="19"/>
        </w:rPr>
        <w:t xml:space="preserve"> </w:t>
      </w:r>
      <w:r w:rsidRPr="00041C12">
        <w:rPr>
          <w:rFonts w:ascii="Times New Roman" w:hAnsi="Times New Roman"/>
          <w:bCs/>
          <w:sz w:val="19"/>
          <w:szCs w:val="19"/>
        </w:rPr>
        <w:t>plots for</w:t>
      </w:r>
      <w:r w:rsidRPr="00041C12">
        <w:rPr>
          <w:rFonts w:ascii="Times New Roman" w:hAnsi="Times New Roman" w:cs="Times New Roman"/>
          <w:bCs/>
          <w:sz w:val="19"/>
          <w:szCs w:val="19"/>
        </w:rPr>
        <w:t xml:space="preserve"> antigen presentation in BMDCs</w:t>
      </w:r>
      <w:r w:rsidRPr="00041C12">
        <w:rPr>
          <w:rFonts w:ascii="Times New Roman" w:eastAsia="宋体" w:hAnsi="Times New Roman" w:cs="Times New Roman"/>
          <w:bCs/>
          <w:sz w:val="19"/>
          <w:szCs w:val="19"/>
        </w:rPr>
        <w:t xml:space="preserve"> 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(cf. Figure </w:t>
      </w:r>
      <w:r w:rsidRPr="00041C12">
        <w:rPr>
          <w:rFonts w:ascii="Times New Roman" w:eastAsia="宋体" w:hAnsi="Times New Roman" w:cs="Times New Roman" w:hint="eastAsia"/>
          <w:bCs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c). 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  <w:lang w:eastAsia="en-US"/>
        </w:rPr>
        <w:t>(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</w:rPr>
        <w:t>a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  <w:lang w:eastAsia="en-US"/>
        </w:rPr>
        <w:t>)</w:t>
      </w:r>
      <w:r w:rsidRPr="00041C12">
        <w:rPr>
          <w:rFonts w:ascii="Times New Roman" w:eastAsia="宋体" w:hAnsi="Times New Roman" w:cs="Times New Roman" w:hint="eastAsia"/>
          <w:sz w:val="19"/>
          <w:szCs w:val="19"/>
        </w:rPr>
        <w:t xml:space="preserve"> </w:t>
      </w:r>
      <w:r w:rsidRPr="00041C12">
        <w:rPr>
          <w:rFonts w:ascii="Times New Roman" w:eastAsia="宋体" w:hAnsi="Times New Roman" w:cs="Times New Roman"/>
          <w:sz w:val="19"/>
          <w:szCs w:val="19"/>
        </w:rPr>
        <w:t>G</w:t>
      </w:r>
      <w:r w:rsidRPr="00041C12">
        <w:rPr>
          <w:rFonts w:ascii="Times New Roman" w:eastAsia="宋体" w:hAnsi="Times New Roman" w:cs="Times New Roman" w:hint="eastAsia"/>
          <w:sz w:val="19"/>
          <w:szCs w:val="19"/>
        </w:rPr>
        <w:t xml:space="preserve">ating strategy </w:t>
      </w:r>
      <w:r w:rsidRPr="00041C12">
        <w:rPr>
          <w:rFonts w:ascii="Times New Roman" w:eastAsia="宋体" w:hAnsi="Times New Roman" w:cs="Times New Roman"/>
          <w:sz w:val="19"/>
          <w:szCs w:val="19"/>
        </w:rPr>
        <w:t xml:space="preserve">for </w:t>
      </w:r>
      <w:r w:rsidRPr="00041C12">
        <w:rPr>
          <w:rFonts w:ascii="Times New Roman" w:hAnsi="Times New Roman" w:cs="Times New Roman"/>
          <w:sz w:val="19"/>
          <w:szCs w:val="19"/>
        </w:rPr>
        <w:t>MH</w:t>
      </w:r>
      <w:r w:rsidR="00733282" w:rsidRPr="00041C12">
        <w:rPr>
          <w:rFonts w:ascii="Times New Roman" w:hAnsi="Times New Roman" w:cs="Times New Roman" w:hint="eastAsia"/>
          <w:sz w:val="19"/>
          <w:szCs w:val="19"/>
          <w:lang w:eastAsia="zh-CN"/>
        </w:rPr>
        <w:t>C</w:t>
      </w:r>
      <w:r w:rsidRPr="00041C12">
        <w:rPr>
          <w:rFonts w:ascii="Times New Roman" w:hAnsi="Times New Roman" w:cs="Times New Roman"/>
          <w:sz w:val="19"/>
          <w:szCs w:val="19"/>
        </w:rPr>
        <w:t>I-OVA</w:t>
      </w:r>
      <w:r w:rsidRPr="00041C12">
        <w:rPr>
          <w:rFonts w:ascii="Times New Roman" w:hAnsi="Times New Roman" w:cs="Times New Roman"/>
          <w:sz w:val="19"/>
          <w:szCs w:val="19"/>
          <w:vertAlign w:val="superscript"/>
        </w:rPr>
        <w:t>+</w:t>
      </w:r>
      <w:r w:rsidRPr="00041C12">
        <w:rPr>
          <w:rFonts w:ascii="Times New Roman" w:hAnsi="Times New Roman" w:cs="Times New Roman"/>
          <w:sz w:val="19"/>
          <w:szCs w:val="19"/>
        </w:rPr>
        <w:t xml:space="preserve"> BMDCs 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(cf. Figure </w:t>
      </w:r>
      <w:r w:rsidRPr="00041C12">
        <w:rPr>
          <w:rFonts w:ascii="Times New Roman" w:eastAsia="宋体" w:hAnsi="Times New Roman" w:cs="Times New Roman" w:hint="eastAsia"/>
          <w:bCs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>c)</w:t>
      </w:r>
      <w:r w:rsidRPr="00041C12">
        <w:rPr>
          <w:rFonts w:ascii="Times New Roman" w:eastAsia="宋体" w:hAnsi="Times New Roman" w:cs="Times New Roman"/>
          <w:sz w:val="19"/>
          <w:szCs w:val="19"/>
        </w:rPr>
        <w:t>.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 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  <w:lang w:eastAsia="en-US"/>
        </w:rPr>
        <w:t>(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</w:rPr>
        <w:t>b</w:t>
      </w:r>
      <w:r w:rsidRPr="00041C12">
        <w:rPr>
          <w:rFonts w:ascii="Times New Roman" w:eastAsia="宋体" w:hAnsi="Times New Roman" w:cs="Times New Roman"/>
          <w:b/>
          <w:bCs/>
          <w:sz w:val="19"/>
          <w:szCs w:val="19"/>
          <w:lang w:eastAsia="en-US"/>
        </w:rPr>
        <w:t>)</w:t>
      </w:r>
      <w:r w:rsidRPr="00041C12">
        <w:rPr>
          <w:rFonts w:ascii="Times New Roman" w:eastAsia="宋体" w:hAnsi="Times New Roman" w:cs="Times New Roman"/>
          <w:sz w:val="19"/>
          <w:szCs w:val="19"/>
        </w:rPr>
        <w:t xml:space="preserve"> R</w:t>
      </w:r>
      <w:r w:rsidRPr="00041C12">
        <w:rPr>
          <w:rFonts w:ascii="Times New Roman" w:hAnsi="Times New Roman"/>
          <w:sz w:val="19"/>
          <w:szCs w:val="19"/>
        </w:rPr>
        <w:t>epresentat</w:t>
      </w:r>
      <w:r w:rsidRPr="00041C12">
        <w:rPr>
          <w:rFonts w:ascii="Times New Roman" w:hAnsi="Times New Roman" w:hint="eastAsia"/>
          <w:sz w:val="19"/>
          <w:szCs w:val="19"/>
        </w:rPr>
        <w:t>i</w:t>
      </w:r>
      <w:r w:rsidRPr="00041C12">
        <w:rPr>
          <w:rFonts w:ascii="Times New Roman" w:hAnsi="Times New Roman"/>
          <w:sz w:val="19"/>
          <w:szCs w:val="19"/>
        </w:rPr>
        <w:t>ve scatter</w:t>
      </w:r>
      <w:r w:rsidRPr="00041C12">
        <w:rPr>
          <w:rFonts w:ascii="Times New Roman" w:hAnsi="Times New Roman" w:hint="eastAsia"/>
          <w:sz w:val="19"/>
          <w:szCs w:val="19"/>
        </w:rPr>
        <w:t xml:space="preserve"> </w:t>
      </w:r>
      <w:r w:rsidRPr="00041C12">
        <w:rPr>
          <w:rFonts w:ascii="Times New Roman" w:hAnsi="Times New Roman"/>
          <w:sz w:val="19"/>
          <w:szCs w:val="19"/>
        </w:rPr>
        <w:t xml:space="preserve">plots </w:t>
      </w:r>
      <w:r w:rsidRPr="00041C12">
        <w:rPr>
          <w:rFonts w:ascii="Times New Roman" w:eastAsia="宋体" w:hAnsi="Times New Roman" w:cs="Times New Roman"/>
          <w:sz w:val="19"/>
          <w:szCs w:val="19"/>
        </w:rPr>
        <w:t>for</w:t>
      </w:r>
      <w:r w:rsidRPr="00041C12">
        <w:rPr>
          <w:rFonts w:ascii="Times New Roman" w:hAnsi="Times New Roman" w:cs="Times New Roman"/>
          <w:sz w:val="19"/>
          <w:szCs w:val="19"/>
        </w:rPr>
        <w:t xml:space="preserve"> MH</w:t>
      </w:r>
      <w:r w:rsidR="00733282" w:rsidRPr="00041C12">
        <w:rPr>
          <w:rFonts w:ascii="Times New Roman" w:hAnsi="Times New Roman" w:cs="Times New Roman" w:hint="eastAsia"/>
          <w:sz w:val="19"/>
          <w:szCs w:val="19"/>
          <w:lang w:eastAsia="zh-CN"/>
        </w:rPr>
        <w:t>C</w:t>
      </w:r>
      <w:r w:rsidRPr="00041C12">
        <w:rPr>
          <w:rFonts w:ascii="Times New Roman" w:hAnsi="Times New Roman" w:cs="Times New Roman"/>
          <w:sz w:val="19"/>
          <w:szCs w:val="19"/>
        </w:rPr>
        <w:t>I-OVA</w:t>
      </w:r>
      <w:r w:rsidRPr="00041C12">
        <w:rPr>
          <w:rFonts w:ascii="Times New Roman" w:hAnsi="Times New Roman" w:cs="Times New Roman"/>
          <w:sz w:val="19"/>
          <w:szCs w:val="19"/>
          <w:vertAlign w:val="superscript"/>
        </w:rPr>
        <w:t>+</w:t>
      </w:r>
      <w:r w:rsidRPr="00041C12">
        <w:rPr>
          <w:rFonts w:ascii="Times New Roman" w:hAnsi="Times New Roman" w:cs="Times New Roman"/>
          <w:sz w:val="19"/>
          <w:szCs w:val="19"/>
        </w:rPr>
        <w:t xml:space="preserve"> BMDCs 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 xml:space="preserve">(cf. Figure </w:t>
      </w:r>
      <w:r w:rsidRPr="00041C12">
        <w:rPr>
          <w:rFonts w:ascii="Times New Roman" w:eastAsia="宋体" w:hAnsi="Times New Roman" w:cs="Times New Roman" w:hint="eastAsia"/>
          <w:bCs/>
          <w:sz w:val="19"/>
          <w:szCs w:val="19"/>
        </w:rPr>
        <w:t>2</w:t>
      </w:r>
      <w:r w:rsidRPr="00041C12">
        <w:rPr>
          <w:rFonts w:ascii="Times New Roman" w:eastAsia="宋体" w:hAnsi="Times New Roman" w:cs="Times New Roman"/>
          <w:bCs/>
          <w:sz w:val="19"/>
          <w:szCs w:val="19"/>
          <w:lang w:eastAsia="en-US"/>
        </w:rPr>
        <w:t>c)</w:t>
      </w:r>
      <w:r w:rsidRPr="00041C12">
        <w:rPr>
          <w:rFonts w:ascii="Times New Roman" w:eastAsia="宋体" w:hAnsi="Times New Roman" w:cs="Times New Roman"/>
          <w:sz w:val="19"/>
          <w:szCs w:val="19"/>
        </w:rPr>
        <w:t>.</w:t>
      </w:r>
      <w:r w:rsidRPr="00041C12">
        <w:rPr>
          <w:rFonts w:ascii="Times New Roman" w:eastAsia="宋体" w:hAnsi="Times New Roman" w:cs="Times New Roman" w:hint="eastAsia"/>
          <w:sz w:val="19"/>
          <w:szCs w:val="19"/>
        </w:rPr>
        <w:t xml:space="preserve"> </w:t>
      </w:r>
      <w:r w:rsidRPr="00041C12">
        <w:rPr>
          <w:rFonts w:ascii="Times New Roman" w:eastAsia="宋体" w:hAnsi="Times New Roman" w:cs="Times New Roman"/>
          <w:sz w:val="19"/>
          <w:szCs w:val="19"/>
        </w:rPr>
        <w:t xml:space="preserve">The data of flow cytometry in this protocol were collected using the BD </w:t>
      </w:r>
      <w:proofErr w:type="spellStart"/>
      <w:r w:rsidRPr="00041C12">
        <w:rPr>
          <w:rFonts w:ascii="Times New Roman" w:eastAsia="宋体" w:hAnsi="Times New Roman" w:cs="Times New Roman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sz w:val="19"/>
          <w:szCs w:val="19"/>
        </w:rPr>
        <w:t xml:space="preserve"> C6 and analyzed using the BD </w:t>
      </w:r>
      <w:proofErr w:type="spellStart"/>
      <w:r w:rsidRPr="00041C12">
        <w:rPr>
          <w:rFonts w:ascii="Times New Roman" w:eastAsia="宋体" w:hAnsi="Times New Roman" w:cs="Times New Roman"/>
          <w:sz w:val="19"/>
          <w:szCs w:val="19"/>
        </w:rPr>
        <w:t>Accuri</w:t>
      </w:r>
      <w:proofErr w:type="spellEnd"/>
      <w:r w:rsidRPr="00041C12">
        <w:rPr>
          <w:rFonts w:ascii="Times New Roman" w:eastAsia="宋体" w:hAnsi="Times New Roman" w:cs="Times New Roman"/>
          <w:sz w:val="19"/>
          <w:szCs w:val="19"/>
        </w:rPr>
        <w:t xml:space="preserve"> C6 or </w:t>
      </w:r>
      <w:proofErr w:type="spellStart"/>
      <w:r w:rsidRPr="00041C12">
        <w:rPr>
          <w:rFonts w:ascii="Times New Roman" w:eastAsia="宋体" w:hAnsi="Times New Roman" w:cs="Times New Roman"/>
          <w:sz w:val="19"/>
          <w:szCs w:val="19"/>
        </w:rPr>
        <w:t>FlowJo</w:t>
      </w:r>
      <w:proofErr w:type="spellEnd"/>
      <w:r w:rsidRPr="00041C12">
        <w:rPr>
          <w:rFonts w:ascii="Times New Roman" w:eastAsia="宋体" w:hAnsi="Times New Roman" w:cs="Times New Roman"/>
          <w:sz w:val="19"/>
          <w:szCs w:val="19"/>
        </w:rPr>
        <w:t xml:space="preserve"> V10 software.</w:t>
      </w:r>
      <w:r w:rsidRPr="00041C12">
        <w:rPr>
          <w:rFonts w:ascii="Times New Roman" w:hAnsi="Times New Roman" w:cs="Times New Roman"/>
          <w:sz w:val="19"/>
          <w:szCs w:val="19"/>
        </w:rPr>
        <w:t xml:space="preserve"> </w:t>
      </w:r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Figure adapted with permission from Li et al. Advanced Materials, 2022, 34(20</w:t>
      </w:r>
      <w:proofErr w:type="gramStart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):e</w:t>
      </w:r>
      <w:proofErr w:type="gramEnd"/>
      <w:r w:rsidRPr="00041C12">
        <w:rPr>
          <w:rFonts w:ascii="Times New Roman" w:eastAsia="宋体" w:hAnsi="Times New Roman" w:cs="Times New Roman"/>
          <w:kern w:val="0"/>
          <w:sz w:val="19"/>
          <w:szCs w:val="19"/>
        </w:rPr>
        <w:t>2109984.</w:t>
      </w:r>
    </w:p>
    <w:p w14:paraId="37768057" w14:textId="77777777" w:rsidR="00330BE8" w:rsidRPr="00041C12" w:rsidRDefault="00330BE8" w:rsidP="00041C12">
      <w:pPr>
        <w:adjustRightInd w:val="0"/>
        <w:snapToGrid w:val="0"/>
        <w:spacing w:line="276" w:lineRule="auto"/>
        <w:jc w:val="both"/>
        <w:rPr>
          <w:sz w:val="19"/>
          <w:szCs w:val="19"/>
        </w:rPr>
      </w:pPr>
    </w:p>
    <w:sectPr w:rsidR="00330BE8" w:rsidRPr="00041C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4156"/>
    <w:rsid w:val="00041C12"/>
    <w:rsid w:val="000F57CE"/>
    <w:rsid w:val="00234156"/>
    <w:rsid w:val="00330BE8"/>
    <w:rsid w:val="00733282"/>
    <w:rsid w:val="00C6303A"/>
    <w:rsid w:val="00D0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3B200"/>
  <w15:docId w15:val="{C8472B65-957D-479D-AE2F-B1A155E32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156"/>
    <w:rPr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rsid w:val="00234156"/>
    <w:pPr>
      <w:widowControl w:val="0"/>
      <w:suppressAutoHyphens/>
      <w:ind w:firstLine="420"/>
    </w:pPr>
    <w:rPr>
      <w:rFonts w:ascii="Arial" w:eastAsia="宋体" w:hAnsi="Arial" w:cs="Arial"/>
      <w:color w:val="000000"/>
      <w:kern w:val="1"/>
      <w:sz w:val="24"/>
      <w:szCs w:val="24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23415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34156"/>
    <w:rPr>
      <w:sz w:val="18"/>
      <w:szCs w:val="18"/>
      <w:lang w:eastAsia="ko-KR"/>
    </w:rPr>
  </w:style>
  <w:style w:type="character" w:styleId="a5">
    <w:name w:val="Hyperlink"/>
    <w:basedOn w:val="a0"/>
    <w:uiPriority w:val="99"/>
    <w:unhideWhenUsed/>
    <w:rsid w:val="000F57CE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F57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niegj@nanoctr.cn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zhaox@nanoctr.cn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张天鲛</dc:creator>
  <cp:lastModifiedBy>Editor</cp:lastModifiedBy>
  <cp:revision>7</cp:revision>
  <dcterms:created xsi:type="dcterms:W3CDTF">2023-04-25T14:16:00Z</dcterms:created>
  <dcterms:modified xsi:type="dcterms:W3CDTF">2023-06-14T03:48:00Z</dcterms:modified>
</cp:coreProperties>
</file>